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97A4A96" w:rsidR="003B163E" w:rsidRPr="00CE0424" w:rsidRDefault="003B163E" w:rsidP="003B163E">
      <w:pPr>
        <w:pStyle w:val="3GPPHeader"/>
        <w:spacing w:after="60"/>
        <w:rPr>
          <w:sz w:val="32"/>
          <w:szCs w:val="32"/>
          <w:highlight w:val="yellow"/>
        </w:rPr>
      </w:pPr>
      <w:bookmarkStart w:id="0" w:name="_GoBack"/>
      <w:bookmarkEnd w:id="0"/>
      <w:r w:rsidRPr="00CE0424">
        <w:t>3GPP TSG-RAN WG</w:t>
      </w:r>
      <w:r>
        <w:t>1</w:t>
      </w:r>
      <w:r w:rsidRPr="00CE0424">
        <w:t xml:space="preserve"> </w:t>
      </w:r>
      <w:r>
        <w:t xml:space="preserve">Meeting </w:t>
      </w:r>
      <w:r w:rsidRPr="00CE0424">
        <w:t>#</w:t>
      </w:r>
      <w:r>
        <w:t>96</w:t>
      </w:r>
      <w:r w:rsidR="00D85F43">
        <w:t>bis</w:t>
      </w:r>
      <w:r w:rsidRPr="00CE0424">
        <w:tab/>
      </w:r>
      <w:r>
        <w:rPr>
          <w:sz w:val="32"/>
          <w:szCs w:val="32"/>
        </w:rPr>
        <w:t>R1-</w:t>
      </w:r>
      <w:r w:rsidR="001F4249" w:rsidRPr="001F4249">
        <w:rPr>
          <w:sz w:val="32"/>
          <w:szCs w:val="32"/>
        </w:rPr>
        <w:t>1905498</w:t>
      </w:r>
    </w:p>
    <w:p w14:paraId="60193F44" w14:textId="137AC0D8" w:rsidR="00745C72" w:rsidRPr="00B606A7" w:rsidRDefault="00D85F43" w:rsidP="00745C72">
      <w:pPr>
        <w:pStyle w:val="3GPPHeader"/>
        <w:rPr>
          <w:lang w:val="en-US"/>
        </w:rPr>
      </w:pPr>
      <w:r>
        <w:t>Xi’an</w:t>
      </w:r>
      <w:r w:rsidR="003B163E" w:rsidRPr="00CE0BF7">
        <w:t xml:space="preserve">, </w:t>
      </w:r>
      <w:r>
        <w:t>China,</w:t>
      </w:r>
      <w:r w:rsidR="003B163E" w:rsidRPr="00CE0BF7">
        <w:t xml:space="preserve"> </w:t>
      </w:r>
      <w:r>
        <w:t>April</w:t>
      </w:r>
      <w:r w:rsidR="003B163E">
        <w:t xml:space="preserve"> </w:t>
      </w:r>
      <w:r>
        <w:t>8</w:t>
      </w:r>
      <w:r w:rsidR="003B163E">
        <w:rPr>
          <w:vertAlign w:val="superscript"/>
        </w:rPr>
        <w:t>th</w:t>
      </w:r>
      <w:r w:rsidR="003B163E" w:rsidRPr="00CE0BF7">
        <w:t xml:space="preserve"> – </w:t>
      </w:r>
      <w:r w:rsidR="003B163E">
        <w:t>1</w:t>
      </w:r>
      <w:r>
        <w:t>2</w:t>
      </w:r>
      <w:r w:rsidR="003B163E">
        <w:rPr>
          <w:vertAlign w:val="superscript"/>
        </w:rPr>
        <w:t>t</w:t>
      </w:r>
      <w:r w:rsidR="00F827AE">
        <w:rPr>
          <w:vertAlign w:val="superscript"/>
        </w:rPr>
        <w:t>h</w:t>
      </w:r>
      <w:r w:rsidR="003B163E" w:rsidRPr="00CE0BF7">
        <w:t xml:space="preserve"> </w:t>
      </w:r>
      <w:r w:rsidR="00745C72" w:rsidRPr="00B606A7">
        <w:rPr>
          <w:lang w:val="en-US"/>
        </w:rPr>
        <w:t xml:space="preserve">2019              </w:t>
      </w:r>
      <w:r w:rsidR="00745C72">
        <w:rPr>
          <w:lang w:val="en-US"/>
        </w:rPr>
        <w:t xml:space="preserve">                    </w:t>
      </w:r>
      <w:r w:rsidR="00745C72" w:rsidRPr="00B606A7">
        <w:rPr>
          <w:lang w:val="en-US"/>
        </w:rPr>
        <w:t xml:space="preserve">    </w:t>
      </w:r>
    </w:p>
    <w:p w14:paraId="60A5317D" w14:textId="0026806B" w:rsidR="00E90E49" w:rsidRPr="00745C72" w:rsidRDefault="00E90E49" w:rsidP="00357380">
      <w:pPr>
        <w:pStyle w:val="3GPPHeader"/>
        <w:rPr>
          <w:lang w:val="en-US"/>
        </w:rPr>
      </w:pPr>
    </w:p>
    <w:p w14:paraId="3C6869D1" w14:textId="2F2633DD" w:rsidR="00E90E49" w:rsidRPr="00F827AE" w:rsidRDefault="00E90E49" w:rsidP="00311702">
      <w:pPr>
        <w:pStyle w:val="3GPPHeader"/>
        <w:rPr>
          <w:sz w:val="22"/>
          <w:szCs w:val="22"/>
          <w:lang w:val="en-US"/>
        </w:rPr>
      </w:pPr>
      <w:r w:rsidRPr="00F827AE">
        <w:rPr>
          <w:sz w:val="22"/>
          <w:szCs w:val="22"/>
          <w:lang w:val="en-US"/>
        </w:rPr>
        <w:t>Agenda Item:</w:t>
      </w:r>
      <w:r w:rsidRPr="00F827AE">
        <w:rPr>
          <w:sz w:val="22"/>
          <w:szCs w:val="22"/>
          <w:lang w:val="en-US"/>
        </w:rPr>
        <w:tab/>
      </w:r>
      <w:r w:rsidR="00BA4894" w:rsidRPr="00F827AE">
        <w:rPr>
          <w:sz w:val="22"/>
          <w:szCs w:val="22"/>
          <w:lang w:val="en-US"/>
        </w:rPr>
        <w:t>7.2.4.8</w:t>
      </w:r>
    </w:p>
    <w:p w14:paraId="0CB055DD" w14:textId="77777777" w:rsidR="00E90E49" w:rsidRPr="00D369F1" w:rsidRDefault="003D3C45" w:rsidP="00F64C2B">
      <w:pPr>
        <w:pStyle w:val="3GPPHeader"/>
        <w:rPr>
          <w:sz w:val="22"/>
          <w:szCs w:val="22"/>
        </w:rPr>
      </w:pPr>
      <w:r w:rsidRPr="00D369F1">
        <w:rPr>
          <w:sz w:val="22"/>
          <w:szCs w:val="22"/>
        </w:rPr>
        <w:t>Source:</w:t>
      </w:r>
      <w:r w:rsidR="00E90E49" w:rsidRPr="00D369F1">
        <w:rPr>
          <w:sz w:val="22"/>
          <w:szCs w:val="22"/>
        </w:rPr>
        <w:tab/>
      </w:r>
      <w:r w:rsidR="00F64C2B" w:rsidRPr="00D369F1">
        <w:rPr>
          <w:sz w:val="22"/>
          <w:szCs w:val="22"/>
        </w:rPr>
        <w:t>Ericsson</w:t>
      </w:r>
    </w:p>
    <w:p w14:paraId="63DAB814" w14:textId="0F7E7D50" w:rsidR="00E90E49" w:rsidRPr="00D369F1" w:rsidRDefault="003D3C45" w:rsidP="00311702">
      <w:pPr>
        <w:pStyle w:val="3GPPHeader"/>
        <w:rPr>
          <w:sz w:val="22"/>
          <w:szCs w:val="22"/>
        </w:rPr>
      </w:pPr>
      <w:r w:rsidRPr="00D369F1">
        <w:rPr>
          <w:sz w:val="22"/>
          <w:szCs w:val="22"/>
        </w:rPr>
        <w:t>Title:</w:t>
      </w:r>
      <w:r w:rsidR="00E90E49" w:rsidRPr="00D369F1">
        <w:rPr>
          <w:sz w:val="22"/>
          <w:szCs w:val="22"/>
        </w:rPr>
        <w:tab/>
      </w:r>
      <w:r w:rsidR="006B5156" w:rsidRPr="00D369F1">
        <w:rPr>
          <w:sz w:val="22"/>
          <w:szCs w:val="22"/>
        </w:rPr>
        <w:t>On link adaptation for sidelink groupcast</w:t>
      </w:r>
    </w:p>
    <w:p w14:paraId="58D4CB54" w14:textId="77777777" w:rsidR="00E90E49" w:rsidRPr="00CE0424" w:rsidRDefault="00E90E49" w:rsidP="00D546FF">
      <w:pPr>
        <w:pStyle w:val="3GPPHeader"/>
        <w:rPr>
          <w:sz w:val="22"/>
          <w:szCs w:val="22"/>
        </w:rPr>
      </w:pPr>
      <w:r w:rsidRPr="00D369F1">
        <w:rPr>
          <w:sz w:val="22"/>
          <w:szCs w:val="22"/>
        </w:rPr>
        <w:t>Document for:</w:t>
      </w:r>
      <w:r w:rsidRPr="00D369F1">
        <w:rPr>
          <w:sz w:val="22"/>
          <w:szCs w:val="22"/>
        </w:rPr>
        <w:tab/>
        <w:t>Discussion, Decision</w:t>
      </w:r>
    </w:p>
    <w:p w14:paraId="76893D37" w14:textId="77777777" w:rsidR="00E90E49" w:rsidRPr="00CE0424" w:rsidRDefault="00E90E49" w:rsidP="00E90E49"/>
    <w:p w14:paraId="48A71273" w14:textId="5614BD9B" w:rsidR="006B5156" w:rsidRPr="00CE0424" w:rsidRDefault="00230D18" w:rsidP="006B5156">
      <w:pPr>
        <w:pStyle w:val="Heading1"/>
      </w:pPr>
      <w:r>
        <w:t>1</w:t>
      </w:r>
      <w:r>
        <w:tab/>
      </w:r>
      <w:r w:rsidR="006B5156">
        <w:tab/>
      </w:r>
      <w:r w:rsidR="006B5156" w:rsidRPr="00CE0424">
        <w:t>Introduction</w:t>
      </w:r>
    </w:p>
    <w:p w14:paraId="01123151" w14:textId="3B2155C5" w:rsidR="006B5156" w:rsidRPr="00763485" w:rsidRDefault="003336C6" w:rsidP="00763485">
      <w:pPr>
        <w:jc w:val="both"/>
        <w:rPr>
          <w:rFonts w:ascii="Arial" w:eastAsia="Calibri" w:hAnsi="Arial" w:cs="Arial"/>
          <w:lang w:val="en-US" w:eastAsia="en-GB"/>
        </w:rPr>
      </w:pPr>
      <w:r>
        <w:rPr>
          <w:rFonts w:ascii="Arial" w:eastAsia="Calibri" w:hAnsi="Arial" w:cs="Arial"/>
          <w:lang w:val="en-US" w:eastAsia="en-GB"/>
        </w:rPr>
        <w:t xml:space="preserve">A new WI for 5G V2X has been approved in RAN#83 [1]. One of the objective of the WI is to support groupcast transmissions for V2X. </w:t>
      </w:r>
      <w:r w:rsidR="006B5156" w:rsidRPr="00763485">
        <w:rPr>
          <w:rFonts w:ascii="Arial" w:eastAsia="Calibri" w:hAnsi="Arial" w:cs="Arial"/>
          <w:lang w:val="en-US" w:eastAsia="en-GB"/>
        </w:rPr>
        <w:t xml:space="preserve">In this paper, we present our views on link adaptation for sidelink groupcast.   </w:t>
      </w:r>
    </w:p>
    <w:p w14:paraId="31FA9AC3" w14:textId="77777777" w:rsidR="006B5156" w:rsidRDefault="006B5156" w:rsidP="006B5156">
      <w:pPr>
        <w:pStyle w:val="Heading1"/>
      </w:pPr>
      <w:bookmarkStart w:id="1" w:name="_Ref178064866"/>
      <w:r>
        <w:t>2</w:t>
      </w:r>
      <w:r>
        <w:tab/>
      </w:r>
      <w:r w:rsidRPr="00CE0424">
        <w:t>Discussion</w:t>
      </w:r>
      <w:bookmarkEnd w:id="1"/>
    </w:p>
    <w:p w14:paraId="760FF65E" w14:textId="77777777" w:rsidR="006B5156" w:rsidRPr="00B606A7" w:rsidRDefault="006B5156" w:rsidP="006B5156">
      <w:pPr>
        <w:jc w:val="both"/>
        <w:rPr>
          <w:rFonts w:ascii="Arial" w:eastAsia="Calibri" w:hAnsi="Arial" w:cs="Arial"/>
          <w:lang w:val="en-US" w:eastAsia="en-GB"/>
        </w:rPr>
      </w:pPr>
      <w:r w:rsidRPr="00B606A7">
        <w:rPr>
          <w:rFonts w:ascii="Arial" w:eastAsia="Calibri" w:hAnsi="Arial" w:cs="Arial"/>
          <w:lang w:val="en-US" w:eastAsia="en-GB"/>
        </w:rPr>
        <w:t xml:space="preserve">Link adaptation can efficiently improve system spectrum efficiency. On one hand, higher-order modulation operation for sidelink communications can be used to attain higher data rate in situations with good channel quality. On the other hand, a more robust modulation and coding scheme (MCS) can be used to achieve reliable communication in situations with bad channel quality. </w:t>
      </w:r>
    </w:p>
    <w:p w14:paraId="5D6B5D16" w14:textId="3EC5A8E7" w:rsidR="006B5156" w:rsidRPr="00B606A7" w:rsidRDefault="006B5156" w:rsidP="006B5156">
      <w:pPr>
        <w:jc w:val="both"/>
        <w:rPr>
          <w:rFonts w:ascii="Arial" w:eastAsia="Calibri" w:hAnsi="Arial" w:cs="Arial"/>
          <w:lang w:val="en-US" w:eastAsia="en-GB"/>
        </w:rPr>
      </w:pPr>
      <w:r w:rsidRPr="00B606A7">
        <w:rPr>
          <w:rFonts w:ascii="Arial" w:eastAsia="Calibri" w:hAnsi="Arial" w:cs="Arial"/>
          <w:lang w:val="en-US" w:eastAsia="en-GB"/>
        </w:rPr>
        <w:t>In our view, the design of link adaptation for sidelink unicast and groupcast should be different. For sidelink unicast, since there is only one target receiver whose identity is known at the transmitter, link adaptation can follow the same principle as NR Uu, i.e., both CQI-based inner-loop link adaptation (ILLA) and ACK/NACK-based outer-loop link adaptation (OLLA) are supported.</w:t>
      </w:r>
      <w:r>
        <w:rPr>
          <w:rFonts w:ascii="Arial" w:eastAsia="Calibri" w:hAnsi="Arial" w:cs="Arial"/>
          <w:lang w:val="en-US" w:eastAsia="en-GB"/>
        </w:rPr>
        <w:t xml:space="preserve"> This can be a natural solution since it has been agreed in </w:t>
      </w:r>
      <w:r>
        <w:rPr>
          <w:rFonts w:ascii="Arial" w:eastAsia="Calibri" w:hAnsi="Arial" w:cs="Arial"/>
          <w:lang w:val="en-US" w:eastAsia="en-GB"/>
        </w:rPr>
        <w:fldChar w:fldCharType="begin"/>
      </w:r>
      <w:r>
        <w:rPr>
          <w:rFonts w:ascii="Arial" w:eastAsia="Calibri" w:hAnsi="Arial" w:cs="Arial"/>
          <w:lang w:val="en-US" w:eastAsia="en-GB"/>
        </w:rPr>
        <w:instrText xml:space="preserve"> REF _Ref4155288 \r \h </w:instrText>
      </w:r>
      <w:r>
        <w:rPr>
          <w:rFonts w:ascii="Arial" w:eastAsia="Calibri" w:hAnsi="Arial" w:cs="Arial"/>
          <w:lang w:val="en-US" w:eastAsia="en-GB"/>
        </w:rPr>
      </w:r>
      <w:r>
        <w:rPr>
          <w:rFonts w:ascii="Arial" w:eastAsia="Calibri" w:hAnsi="Arial" w:cs="Arial"/>
          <w:lang w:val="en-US" w:eastAsia="en-GB"/>
        </w:rPr>
        <w:fldChar w:fldCharType="separate"/>
      </w:r>
      <w:r w:rsidR="001D6FFD">
        <w:rPr>
          <w:rFonts w:ascii="Arial" w:eastAsia="Calibri" w:hAnsi="Arial" w:cs="Arial"/>
          <w:lang w:val="en-US" w:eastAsia="en-GB"/>
        </w:rPr>
        <w:t>[1]</w:t>
      </w:r>
      <w:r>
        <w:rPr>
          <w:rFonts w:ascii="Arial" w:eastAsia="Calibri" w:hAnsi="Arial" w:cs="Arial"/>
          <w:lang w:val="en-US" w:eastAsia="en-GB"/>
        </w:rPr>
        <w:fldChar w:fldCharType="end"/>
      </w:r>
      <w:r>
        <w:rPr>
          <w:rFonts w:ascii="Arial" w:eastAsia="Calibri" w:hAnsi="Arial" w:cs="Arial"/>
          <w:lang w:val="en-US" w:eastAsia="en-GB"/>
        </w:rPr>
        <w:t xml:space="preserve"> to support CQI report.                                         </w:t>
      </w:r>
    </w:p>
    <w:p w14:paraId="7ADEEAA2" w14:textId="77777777" w:rsidR="006B5156" w:rsidRPr="00B606A7" w:rsidRDefault="006B5156" w:rsidP="006B5156">
      <w:pPr>
        <w:jc w:val="both"/>
        <w:rPr>
          <w:rFonts w:ascii="Arial" w:eastAsia="Calibri" w:hAnsi="Arial" w:cs="Arial"/>
          <w:lang w:val="en-US" w:eastAsia="en-GB"/>
        </w:rPr>
      </w:pPr>
      <w:r w:rsidRPr="00B606A7">
        <w:rPr>
          <w:rFonts w:ascii="Arial" w:eastAsia="Calibri" w:hAnsi="Arial" w:cs="Arial"/>
          <w:lang w:val="en-US" w:eastAsia="en-GB"/>
        </w:rPr>
        <w:t>However, the design for sidelink groupcast is more challenging. Since there are multiple target sidelink receivers and they are located differently, their measured CQIs can be very different. If all of them feedback CQI as in the sidelink unicast case, the signaling overhead can be quite high. Hence, we think that only ACK/NACK-based OLLA should be supported for sidelink groupcast.</w:t>
      </w:r>
    </w:p>
    <w:p w14:paraId="54DC3A4B" w14:textId="77777777" w:rsidR="006B5156" w:rsidRPr="00B606A7" w:rsidRDefault="006B5156" w:rsidP="006B5156">
      <w:pPr>
        <w:pStyle w:val="Proposal"/>
        <w:spacing w:line="259" w:lineRule="auto"/>
        <w:rPr>
          <w:lang w:val="en-US"/>
        </w:rPr>
      </w:pPr>
      <w:bookmarkStart w:id="2" w:name="_Toc534983014"/>
      <w:bookmarkStart w:id="3" w:name="_Toc5120161"/>
      <w:r w:rsidRPr="00B606A7">
        <w:rPr>
          <w:lang w:val="en-US"/>
        </w:rPr>
        <w:t>For sidelink groupcast, only outer-loop link adaptation is supported.</w:t>
      </w:r>
      <w:bookmarkEnd w:id="2"/>
      <w:bookmarkEnd w:id="3"/>
    </w:p>
    <w:p w14:paraId="1FB52963" w14:textId="00487374" w:rsidR="006B5156" w:rsidRPr="00B606A7" w:rsidRDefault="006B5156" w:rsidP="006B5156">
      <w:pPr>
        <w:jc w:val="both"/>
        <w:rPr>
          <w:rFonts w:ascii="Arial" w:eastAsia="Calibri" w:hAnsi="Arial" w:cs="Arial"/>
          <w:lang w:val="en-US" w:eastAsia="en-GB"/>
        </w:rPr>
      </w:pPr>
      <w:r w:rsidRPr="00B606A7">
        <w:rPr>
          <w:rFonts w:ascii="Arial" w:eastAsia="Calibri" w:hAnsi="Arial" w:cs="Arial"/>
          <w:lang w:val="en-US" w:eastAsia="en-GB"/>
        </w:rPr>
        <w:t xml:space="preserve">In our view, the communication range associated with a V2X service can be used to support link adaptation for sidelink groupcast, where no CSIT is available. Due to the different positions of the target receivers, their decoding status, i.e., ACK or NACK, can be quite different. In this case, it needs to be studied that how the sidelink transmitter adjusts MCS based on these ACKs and NACKs to achieve a good tradeoff between transmission efficiency and reliability. For this purpose, we think that the distances between the sidelink receivers and the transmitter and the communication range required by a V2X service should be jointly considered within the link adaptation procedure for sidelink groupcast. Note that in SA2 #129 meeting, the role of communication range parameter has been clarified. In short, communication range is not regarded as a QoS parameter, instead upon RAN decisions it can be provided by V2X layer to access stratum for e.g. optimization purpose. </w:t>
      </w:r>
    </w:p>
    <w:p w14:paraId="04018227" w14:textId="44BB16BE" w:rsidR="006B5156" w:rsidRPr="00B606A7" w:rsidRDefault="006B5156" w:rsidP="006B5156">
      <w:pPr>
        <w:jc w:val="both"/>
        <w:rPr>
          <w:rFonts w:ascii="Arial" w:eastAsia="Calibri" w:hAnsi="Arial" w:cs="Arial"/>
          <w:lang w:val="en-US" w:eastAsia="en-GB"/>
        </w:rPr>
      </w:pPr>
      <w:r w:rsidRPr="00B606A7">
        <w:rPr>
          <w:rFonts w:ascii="Arial" w:eastAsia="Calibri" w:hAnsi="Arial" w:cs="Arial"/>
          <w:lang w:val="en-US" w:eastAsia="en-GB"/>
        </w:rPr>
        <w:lastRenderedPageBreak/>
        <w:t xml:space="preserve">Consider the sidelink groupcast illustrated in </w:t>
      </w:r>
      <w:r w:rsidRPr="003D7DA7">
        <w:rPr>
          <w:rFonts w:ascii="Arial" w:eastAsia="Calibri" w:hAnsi="Arial" w:cs="Arial"/>
          <w:lang w:eastAsia="en-GB"/>
        </w:rPr>
        <w:fldChar w:fldCharType="begin"/>
      </w:r>
      <w:r w:rsidRPr="00B606A7">
        <w:rPr>
          <w:rFonts w:ascii="Arial" w:eastAsia="Calibri" w:hAnsi="Arial" w:cs="Arial"/>
          <w:lang w:val="en-US" w:eastAsia="en-GB"/>
        </w:rPr>
        <w:instrText xml:space="preserve"> REF _Ref534981187 \h  \* MERGEFORMAT </w:instrText>
      </w:r>
      <w:r w:rsidRPr="003D7DA7">
        <w:rPr>
          <w:rFonts w:ascii="Arial" w:eastAsia="Calibri" w:hAnsi="Arial" w:cs="Arial"/>
          <w:lang w:eastAsia="en-GB"/>
        </w:rPr>
      </w:r>
      <w:r w:rsidRPr="003D7DA7">
        <w:rPr>
          <w:rFonts w:ascii="Arial" w:eastAsia="Calibri" w:hAnsi="Arial" w:cs="Arial"/>
          <w:lang w:eastAsia="en-GB"/>
        </w:rPr>
        <w:fldChar w:fldCharType="separate"/>
      </w:r>
      <w:r w:rsidR="001D6FFD" w:rsidRPr="001D6FFD">
        <w:rPr>
          <w:rFonts w:ascii="Arial" w:eastAsia="Calibri" w:hAnsi="Arial" w:cs="Arial"/>
          <w:lang w:val="en-US" w:eastAsia="en-GB"/>
        </w:rPr>
        <w:t>Figure 1</w:t>
      </w:r>
      <w:r w:rsidRPr="003D7DA7">
        <w:rPr>
          <w:rFonts w:ascii="Arial" w:eastAsia="Calibri" w:hAnsi="Arial" w:cs="Arial"/>
          <w:lang w:eastAsia="en-GB"/>
        </w:rPr>
        <w:fldChar w:fldCharType="end"/>
      </w:r>
      <w:r w:rsidRPr="00B606A7">
        <w:rPr>
          <w:rFonts w:ascii="Arial" w:eastAsia="Calibri" w:hAnsi="Arial" w:cs="Arial"/>
          <w:lang w:val="en-US" w:eastAsia="en-GB"/>
        </w:rPr>
        <w:t xml:space="preserve">, where UE0 is the Tx UE and UEs 1-7 are the Rx UEs. Assume that the required communication range is d1+d2+d3. In the example of </w:t>
      </w:r>
      <w:r w:rsidRPr="003D7DA7">
        <w:rPr>
          <w:rFonts w:ascii="Arial" w:eastAsia="Calibri" w:hAnsi="Arial" w:cs="Arial"/>
          <w:lang w:eastAsia="en-GB"/>
        </w:rPr>
        <w:fldChar w:fldCharType="begin"/>
      </w:r>
      <w:r w:rsidRPr="00B606A7">
        <w:rPr>
          <w:rFonts w:ascii="Arial" w:eastAsia="Calibri" w:hAnsi="Arial" w:cs="Arial"/>
          <w:lang w:val="en-US" w:eastAsia="en-GB"/>
        </w:rPr>
        <w:instrText xml:space="preserve"> REF _Ref534981187 \h  \* MERGEFORMAT </w:instrText>
      </w:r>
      <w:r w:rsidRPr="003D7DA7">
        <w:rPr>
          <w:rFonts w:ascii="Arial" w:eastAsia="Calibri" w:hAnsi="Arial" w:cs="Arial"/>
          <w:lang w:eastAsia="en-GB"/>
        </w:rPr>
      </w:r>
      <w:r w:rsidRPr="003D7DA7">
        <w:rPr>
          <w:rFonts w:ascii="Arial" w:eastAsia="Calibri" w:hAnsi="Arial" w:cs="Arial"/>
          <w:lang w:eastAsia="en-GB"/>
        </w:rPr>
        <w:fldChar w:fldCharType="separate"/>
      </w:r>
      <w:r w:rsidR="001D6FFD" w:rsidRPr="001D6FFD">
        <w:rPr>
          <w:rFonts w:ascii="Arial" w:eastAsia="Calibri" w:hAnsi="Arial" w:cs="Arial"/>
          <w:lang w:val="en-US" w:eastAsia="en-GB"/>
        </w:rPr>
        <w:t>Figure 1</w:t>
      </w:r>
      <w:r w:rsidRPr="003D7DA7">
        <w:rPr>
          <w:rFonts w:ascii="Arial" w:eastAsia="Calibri" w:hAnsi="Arial" w:cs="Arial"/>
          <w:lang w:eastAsia="en-GB"/>
        </w:rPr>
        <w:fldChar w:fldCharType="end"/>
      </w:r>
      <w:r w:rsidRPr="00B606A7">
        <w:rPr>
          <w:rFonts w:ascii="Arial" w:eastAsia="Calibri" w:hAnsi="Arial" w:cs="Arial"/>
          <w:lang w:val="en-US" w:eastAsia="en-GB"/>
        </w:rPr>
        <w:t xml:space="preserve"> (a), UEs 1-5 have successfully decoded the groupcast packet and feedbacked ACKs, while UEs 6-7 have failed the decoding and feedbacked NACKs. In this case, it may not be a good idea to reduce the MCS for more robust transmission, especially when the traffic load is high in the network. This is because 1) the required communication range, i.e., d1+d2+d3, is not much larger than what has already been successfully covered, i.e., d1+d2; 2) a reduced MCS will require more resources for a packet transmission, which will further congest the channel. However, in the example given in </w:t>
      </w:r>
      <w:r w:rsidRPr="003D7DA7">
        <w:rPr>
          <w:rFonts w:ascii="Arial" w:eastAsia="Calibri" w:hAnsi="Arial" w:cs="Arial"/>
          <w:lang w:eastAsia="en-GB"/>
        </w:rPr>
        <w:fldChar w:fldCharType="begin"/>
      </w:r>
      <w:r w:rsidRPr="00B606A7">
        <w:rPr>
          <w:rFonts w:ascii="Arial" w:eastAsia="Calibri" w:hAnsi="Arial" w:cs="Arial"/>
          <w:lang w:val="en-US" w:eastAsia="en-GB"/>
        </w:rPr>
        <w:instrText xml:space="preserve"> REF _Ref534981187 \h  \* MERGEFORMAT </w:instrText>
      </w:r>
      <w:r w:rsidRPr="003D7DA7">
        <w:rPr>
          <w:rFonts w:ascii="Arial" w:eastAsia="Calibri" w:hAnsi="Arial" w:cs="Arial"/>
          <w:lang w:eastAsia="en-GB"/>
        </w:rPr>
      </w:r>
      <w:r w:rsidRPr="003D7DA7">
        <w:rPr>
          <w:rFonts w:ascii="Arial" w:eastAsia="Calibri" w:hAnsi="Arial" w:cs="Arial"/>
          <w:lang w:eastAsia="en-GB"/>
        </w:rPr>
        <w:fldChar w:fldCharType="separate"/>
      </w:r>
      <w:r w:rsidR="001D6FFD" w:rsidRPr="001D6FFD">
        <w:rPr>
          <w:rFonts w:ascii="Arial" w:eastAsia="Calibri" w:hAnsi="Arial" w:cs="Arial"/>
          <w:lang w:val="en-US" w:eastAsia="en-GB"/>
        </w:rPr>
        <w:t>Figure 1</w:t>
      </w:r>
      <w:r w:rsidRPr="003D7DA7">
        <w:rPr>
          <w:rFonts w:ascii="Arial" w:eastAsia="Calibri" w:hAnsi="Arial" w:cs="Arial"/>
          <w:lang w:eastAsia="en-GB"/>
        </w:rPr>
        <w:fldChar w:fldCharType="end"/>
      </w:r>
      <w:r w:rsidRPr="00B606A7">
        <w:rPr>
          <w:rFonts w:ascii="Arial" w:eastAsia="Calibri" w:hAnsi="Arial" w:cs="Arial"/>
          <w:lang w:val="en-US" w:eastAsia="en-GB"/>
        </w:rPr>
        <w:t xml:space="preserve"> (b), where UEs 1-2 have successfully decoded the packet while UEs 3-7 have failed, the future MCS probably needs to be reduced since the achievable communication range can only reach a small fraction of the required range.</w:t>
      </w:r>
    </w:p>
    <w:p w14:paraId="48EAB4B6" w14:textId="77777777" w:rsidR="006B5156" w:rsidRDefault="006B5156" w:rsidP="006B5156">
      <w:pPr>
        <w:jc w:val="center"/>
        <w:rPr>
          <w:rFonts w:ascii="Arial" w:eastAsia="Calibri" w:hAnsi="Arial" w:cs="Arial"/>
          <w:lang w:eastAsia="en-GB"/>
        </w:rPr>
      </w:pPr>
      <w:r>
        <w:rPr>
          <w:rFonts w:ascii="Arial" w:eastAsia="Calibri" w:hAnsi="Arial" w:cs="Arial"/>
          <w:noProof/>
          <w:lang w:eastAsia="en-GB"/>
        </w:rPr>
        <w:drawing>
          <wp:inline distT="0" distB="0" distL="0" distR="0" wp14:anchorId="6AF62143" wp14:editId="7F6706DD">
            <wp:extent cx="3627120" cy="2745862"/>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42108" cy="2757209"/>
                    </a:xfrm>
                    <a:prstGeom prst="rect">
                      <a:avLst/>
                    </a:prstGeom>
                    <a:noFill/>
                    <a:ln>
                      <a:noFill/>
                    </a:ln>
                  </pic:spPr>
                </pic:pic>
              </a:graphicData>
            </a:graphic>
          </wp:inline>
        </w:drawing>
      </w:r>
    </w:p>
    <w:p w14:paraId="6F2379D7" w14:textId="77777777" w:rsidR="006B5156" w:rsidRDefault="006B5156" w:rsidP="006B5156">
      <w:pPr>
        <w:jc w:val="center"/>
        <w:rPr>
          <w:rFonts w:ascii="Arial" w:eastAsia="Calibri" w:hAnsi="Arial" w:cs="Arial"/>
          <w:lang w:eastAsia="en-GB"/>
        </w:rPr>
      </w:pPr>
      <w:r>
        <w:rPr>
          <w:rFonts w:ascii="Arial" w:eastAsia="Calibri" w:hAnsi="Arial" w:cs="Arial"/>
          <w:lang w:eastAsia="en-GB"/>
        </w:rPr>
        <w:t>(a)</w:t>
      </w:r>
    </w:p>
    <w:p w14:paraId="3F061123" w14:textId="77777777" w:rsidR="006B5156" w:rsidRDefault="006B5156" w:rsidP="006B5156">
      <w:pPr>
        <w:rPr>
          <w:rFonts w:ascii="Arial" w:eastAsia="Calibri" w:hAnsi="Arial" w:cs="Arial"/>
          <w:lang w:eastAsia="en-GB"/>
        </w:rPr>
      </w:pPr>
    </w:p>
    <w:p w14:paraId="66CC3212" w14:textId="77777777" w:rsidR="006B5156" w:rsidRDefault="006B5156" w:rsidP="006B5156">
      <w:pPr>
        <w:jc w:val="center"/>
        <w:rPr>
          <w:rFonts w:ascii="Arial" w:eastAsia="Calibri" w:hAnsi="Arial" w:cs="Arial"/>
          <w:lang w:eastAsia="en-GB"/>
        </w:rPr>
      </w:pPr>
      <w:r>
        <w:rPr>
          <w:rFonts w:ascii="Arial" w:eastAsia="Calibri" w:hAnsi="Arial" w:cs="Arial"/>
          <w:noProof/>
          <w:lang w:eastAsia="en-GB"/>
        </w:rPr>
        <w:drawing>
          <wp:inline distT="0" distB="0" distL="0" distR="0" wp14:anchorId="2E7F527C" wp14:editId="658C1ECF">
            <wp:extent cx="3502815" cy="2651760"/>
            <wp:effectExtent l="0" t="0" r="254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1626" cy="2658431"/>
                    </a:xfrm>
                    <a:prstGeom prst="rect">
                      <a:avLst/>
                    </a:prstGeom>
                    <a:noFill/>
                    <a:ln>
                      <a:noFill/>
                    </a:ln>
                  </pic:spPr>
                </pic:pic>
              </a:graphicData>
            </a:graphic>
          </wp:inline>
        </w:drawing>
      </w:r>
    </w:p>
    <w:p w14:paraId="42A9CBE2" w14:textId="77777777" w:rsidR="006B5156" w:rsidRPr="00B606A7" w:rsidRDefault="006B5156" w:rsidP="006B5156">
      <w:pPr>
        <w:jc w:val="center"/>
        <w:rPr>
          <w:rFonts w:ascii="Arial" w:eastAsia="Calibri" w:hAnsi="Arial" w:cs="Arial"/>
          <w:lang w:val="en-US" w:eastAsia="en-GB"/>
        </w:rPr>
      </w:pPr>
      <w:r w:rsidRPr="00B606A7">
        <w:rPr>
          <w:rFonts w:ascii="Arial" w:eastAsia="Calibri" w:hAnsi="Arial" w:cs="Arial"/>
          <w:lang w:val="en-US" w:eastAsia="en-GB"/>
        </w:rPr>
        <w:t>(b)</w:t>
      </w:r>
    </w:p>
    <w:p w14:paraId="06FF73CC" w14:textId="56EE3F12" w:rsidR="006B5156" w:rsidRPr="00B606A7" w:rsidRDefault="006B5156" w:rsidP="006B5156">
      <w:pPr>
        <w:pStyle w:val="Caption"/>
        <w:rPr>
          <w:rFonts w:ascii="Arial" w:hAnsi="Arial" w:cs="Arial"/>
          <w:lang w:val="en-US"/>
        </w:rPr>
      </w:pPr>
      <w:bookmarkStart w:id="4" w:name="_Ref534981187"/>
      <w:r w:rsidRPr="00B606A7">
        <w:rPr>
          <w:rFonts w:ascii="Arial" w:hAnsi="Arial" w:cs="Arial"/>
          <w:lang w:val="en-US"/>
        </w:rPr>
        <w:t xml:space="preserve">Figure </w:t>
      </w:r>
      <w:r w:rsidRPr="00BA68FB">
        <w:rPr>
          <w:rFonts w:ascii="Arial" w:hAnsi="Arial" w:cs="Arial"/>
        </w:rPr>
        <w:fldChar w:fldCharType="begin"/>
      </w:r>
      <w:r w:rsidRPr="00B606A7">
        <w:rPr>
          <w:rFonts w:ascii="Arial" w:hAnsi="Arial" w:cs="Arial"/>
          <w:lang w:val="en-US"/>
        </w:rPr>
        <w:instrText xml:space="preserve"> SEQ Figure \* ARABIC </w:instrText>
      </w:r>
      <w:r w:rsidRPr="00BA68FB">
        <w:rPr>
          <w:rFonts w:ascii="Arial" w:hAnsi="Arial" w:cs="Arial"/>
        </w:rPr>
        <w:fldChar w:fldCharType="separate"/>
      </w:r>
      <w:r w:rsidR="001D6FFD">
        <w:rPr>
          <w:rFonts w:ascii="Arial" w:hAnsi="Arial" w:cs="Arial"/>
          <w:noProof/>
          <w:lang w:val="en-US"/>
        </w:rPr>
        <w:t>1</w:t>
      </w:r>
      <w:r w:rsidRPr="00BA68FB">
        <w:rPr>
          <w:rFonts w:ascii="Arial" w:hAnsi="Arial" w:cs="Arial"/>
        </w:rPr>
        <w:fldChar w:fldCharType="end"/>
      </w:r>
      <w:bookmarkEnd w:id="4"/>
      <w:r w:rsidRPr="00B606A7">
        <w:rPr>
          <w:rFonts w:ascii="Arial" w:hAnsi="Arial" w:cs="Arial"/>
          <w:lang w:val="en-US"/>
        </w:rPr>
        <w:t>: Sidelink groupcast transmission. (a) UEs 1-5 have successfully decoded the packet while UEs 6 and 7 have failed; (b) UEs 1 and 2 have successfully decoded the packet while UEs 3-7 have failed.</w:t>
      </w:r>
    </w:p>
    <w:p w14:paraId="110A12A8" w14:textId="77777777" w:rsidR="006B5156" w:rsidRPr="00B606A7" w:rsidRDefault="006B5156" w:rsidP="006B5156">
      <w:pPr>
        <w:rPr>
          <w:rFonts w:eastAsia="Calibri"/>
          <w:lang w:val="en-US" w:eastAsia="en-GB"/>
        </w:rPr>
      </w:pPr>
    </w:p>
    <w:p w14:paraId="4A7A7DB0" w14:textId="77777777" w:rsidR="006B5156" w:rsidRPr="00B606A7" w:rsidRDefault="006B5156" w:rsidP="006B5156">
      <w:pPr>
        <w:pStyle w:val="Proposal"/>
        <w:spacing w:line="259" w:lineRule="auto"/>
        <w:rPr>
          <w:lang w:val="en-US"/>
        </w:rPr>
      </w:pPr>
      <w:bookmarkStart w:id="5" w:name="_Toc5120162"/>
      <w:r w:rsidRPr="00B606A7">
        <w:rPr>
          <w:lang w:val="en-US"/>
        </w:rPr>
        <w:lastRenderedPageBreak/>
        <w:t>At least the required communication range (defined by higher layers) and the distances between sidelink transmitter and its receivers is considered as an input for link adaptation for sidelink groupcast.</w:t>
      </w:r>
      <w:bookmarkEnd w:id="5"/>
    </w:p>
    <w:p w14:paraId="5834ADCA" w14:textId="77777777" w:rsidR="006B5156" w:rsidRDefault="006B5156" w:rsidP="006B5156">
      <w:pPr>
        <w:pStyle w:val="Proposal"/>
        <w:numPr>
          <w:ilvl w:val="2"/>
          <w:numId w:val="3"/>
        </w:numPr>
        <w:spacing w:line="259" w:lineRule="auto"/>
      </w:pPr>
      <w:bookmarkStart w:id="6" w:name="_Toc5120163"/>
      <w:r>
        <w:t>FFS other information.</w:t>
      </w:r>
      <w:bookmarkEnd w:id="6"/>
    </w:p>
    <w:p w14:paraId="77FC0AF3" w14:textId="77777777" w:rsidR="006B5156" w:rsidRPr="00B606A7" w:rsidRDefault="006B5156" w:rsidP="006B5156">
      <w:pPr>
        <w:pStyle w:val="Proposal"/>
        <w:numPr>
          <w:ilvl w:val="2"/>
          <w:numId w:val="3"/>
        </w:numPr>
        <w:spacing w:line="259" w:lineRule="auto"/>
        <w:rPr>
          <w:lang w:val="en-US"/>
        </w:rPr>
      </w:pPr>
      <w:bookmarkStart w:id="7" w:name="_Toc5120164"/>
      <w:r w:rsidRPr="00B606A7">
        <w:rPr>
          <w:lang w:val="en-US"/>
        </w:rPr>
        <w:t>FFS how to use the range and distances.</w:t>
      </w:r>
      <w:bookmarkEnd w:id="7"/>
    </w:p>
    <w:p w14:paraId="1B3D140D" w14:textId="77777777" w:rsidR="006B5156" w:rsidRPr="00B606A7" w:rsidRDefault="006B5156" w:rsidP="006B5156">
      <w:pPr>
        <w:rPr>
          <w:lang w:val="en-US" w:eastAsia="en-GB"/>
        </w:rPr>
      </w:pPr>
    </w:p>
    <w:p w14:paraId="1136EF4C" w14:textId="2F19B56A" w:rsidR="006B5156" w:rsidRPr="00BA68FB" w:rsidRDefault="00896A5F" w:rsidP="006B5156">
      <w:pPr>
        <w:pStyle w:val="Heading1"/>
      </w:pPr>
      <w:r>
        <w:t>3</w:t>
      </w:r>
      <w:r>
        <w:tab/>
      </w:r>
      <w:r w:rsidR="006B5156" w:rsidRPr="00CE0424">
        <w:t>Conclusion</w:t>
      </w:r>
    </w:p>
    <w:p w14:paraId="0386EF69" w14:textId="77777777" w:rsidR="006B5156" w:rsidRPr="00B606A7" w:rsidRDefault="006B5156" w:rsidP="006B5156">
      <w:pPr>
        <w:pStyle w:val="BodyText"/>
        <w:rPr>
          <w:lang w:val="en-US"/>
        </w:rPr>
      </w:pPr>
      <w:r w:rsidRPr="00B606A7">
        <w:rPr>
          <w:lang w:val="en-US"/>
        </w:rPr>
        <w:t>Based on the discussion in the previous sections we propose the following:</w:t>
      </w:r>
    </w:p>
    <w:p w14:paraId="435EA157" w14:textId="2388AFF3" w:rsidR="001D6FFD" w:rsidRDefault="006B5156">
      <w:pPr>
        <w:pStyle w:val="TableofFigures"/>
        <w:tabs>
          <w:tab w:val="right" w:leader="dot" w:pos="9629"/>
        </w:tabs>
        <w:rPr>
          <w:rFonts w:asciiTheme="minorHAnsi" w:eastAsiaTheme="minorEastAsia" w:hAnsiTheme="minorHAnsi"/>
          <w:b w:val="0"/>
          <w:noProof/>
          <w:sz w:val="22"/>
          <w:szCs w:val="22"/>
          <w:lang w:val="en-US"/>
        </w:rPr>
      </w:pPr>
      <w:r>
        <w:rPr>
          <w:b w:val="0"/>
          <w:bCs/>
        </w:rPr>
        <w:fldChar w:fldCharType="begin"/>
      </w:r>
      <w:r>
        <w:rPr>
          <w:b w:val="0"/>
          <w:bCs/>
        </w:rPr>
        <w:instrText xml:space="preserve"> TOC \n \h \z \t "Proposal" \c </w:instrText>
      </w:r>
      <w:r>
        <w:rPr>
          <w:b w:val="0"/>
          <w:bCs/>
        </w:rPr>
        <w:fldChar w:fldCharType="separate"/>
      </w:r>
      <w:hyperlink w:anchor="_Toc5120161" w:history="1">
        <w:r w:rsidR="001D6FFD" w:rsidRPr="00AE6713">
          <w:rPr>
            <w:rStyle w:val="Hyperlink"/>
            <w:noProof/>
            <w:lang w:val="en-US"/>
          </w:rPr>
          <w:t>Proposal 1</w:t>
        </w:r>
        <w:r w:rsidR="001D6FFD">
          <w:rPr>
            <w:rFonts w:asciiTheme="minorHAnsi" w:eastAsiaTheme="minorEastAsia" w:hAnsiTheme="minorHAnsi"/>
            <w:b w:val="0"/>
            <w:noProof/>
            <w:sz w:val="22"/>
            <w:szCs w:val="22"/>
            <w:lang w:val="en-US"/>
          </w:rPr>
          <w:tab/>
        </w:r>
        <w:r w:rsidR="001D6FFD" w:rsidRPr="00AE6713">
          <w:rPr>
            <w:rStyle w:val="Hyperlink"/>
            <w:noProof/>
            <w:lang w:val="en-US"/>
          </w:rPr>
          <w:t>For sidelink groupcast, only outer-loop link adaptation is supported.</w:t>
        </w:r>
      </w:hyperlink>
    </w:p>
    <w:p w14:paraId="20604E9D" w14:textId="29886E9F" w:rsidR="001D6FFD" w:rsidRDefault="00DD5EE6">
      <w:pPr>
        <w:pStyle w:val="TableofFigures"/>
        <w:tabs>
          <w:tab w:val="right" w:leader="dot" w:pos="9629"/>
        </w:tabs>
        <w:rPr>
          <w:rFonts w:asciiTheme="minorHAnsi" w:eastAsiaTheme="minorEastAsia" w:hAnsiTheme="minorHAnsi"/>
          <w:b w:val="0"/>
          <w:noProof/>
          <w:sz w:val="22"/>
          <w:szCs w:val="22"/>
          <w:lang w:val="en-US"/>
        </w:rPr>
      </w:pPr>
      <w:hyperlink w:anchor="_Toc5120162" w:history="1">
        <w:r w:rsidR="001D6FFD" w:rsidRPr="00AE6713">
          <w:rPr>
            <w:rStyle w:val="Hyperlink"/>
            <w:noProof/>
            <w:lang w:val="en-US"/>
          </w:rPr>
          <w:t>Proposal 2</w:t>
        </w:r>
        <w:r w:rsidR="001D6FFD">
          <w:rPr>
            <w:rFonts w:asciiTheme="minorHAnsi" w:eastAsiaTheme="minorEastAsia" w:hAnsiTheme="minorHAnsi"/>
            <w:b w:val="0"/>
            <w:noProof/>
            <w:sz w:val="22"/>
            <w:szCs w:val="22"/>
            <w:lang w:val="en-US"/>
          </w:rPr>
          <w:tab/>
        </w:r>
        <w:r w:rsidR="001D6FFD" w:rsidRPr="00AE6713">
          <w:rPr>
            <w:rStyle w:val="Hyperlink"/>
            <w:noProof/>
            <w:lang w:val="en-US"/>
          </w:rPr>
          <w:t>At least the required communication range (defined by higher layers) and the distances between sidelink transmitter and its receivers is considered as an input for link adaptation for sidelink groupcast.</w:t>
        </w:r>
      </w:hyperlink>
    </w:p>
    <w:p w14:paraId="29B4A5DE" w14:textId="4B4BF83C" w:rsidR="001D6FFD" w:rsidRDefault="00DD5EE6">
      <w:pPr>
        <w:pStyle w:val="TableofFigures"/>
        <w:tabs>
          <w:tab w:val="right" w:leader="dot" w:pos="9629"/>
        </w:tabs>
        <w:rPr>
          <w:rFonts w:asciiTheme="minorHAnsi" w:eastAsiaTheme="minorEastAsia" w:hAnsiTheme="minorHAnsi"/>
          <w:b w:val="0"/>
          <w:noProof/>
          <w:sz w:val="22"/>
          <w:szCs w:val="22"/>
          <w:lang w:val="en-US"/>
        </w:rPr>
      </w:pPr>
      <w:hyperlink w:anchor="_Toc5120163" w:history="1">
        <w:r w:rsidR="001D6FFD" w:rsidRPr="00AE6713">
          <w:rPr>
            <w:rStyle w:val="Hyperlink"/>
            <w:noProof/>
          </w:rPr>
          <w:t>i.</w:t>
        </w:r>
        <w:r w:rsidR="001D6FFD">
          <w:rPr>
            <w:rFonts w:asciiTheme="minorHAnsi" w:eastAsiaTheme="minorEastAsia" w:hAnsiTheme="minorHAnsi"/>
            <w:b w:val="0"/>
            <w:noProof/>
            <w:sz w:val="22"/>
            <w:szCs w:val="22"/>
            <w:lang w:val="en-US"/>
          </w:rPr>
          <w:tab/>
        </w:r>
        <w:r w:rsidR="001D6FFD" w:rsidRPr="00AE6713">
          <w:rPr>
            <w:rStyle w:val="Hyperlink"/>
            <w:noProof/>
          </w:rPr>
          <w:t>FFS other information.</w:t>
        </w:r>
      </w:hyperlink>
    </w:p>
    <w:p w14:paraId="124BFE68" w14:textId="6FAD3000" w:rsidR="001D6FFD" w:rsidRDefault="00DD5EE6">
      <w:pPr>
        <w:pStyle w:val="TableofFigures"/>
        <w:tabs>
          <w:tab w:val="right" w:leader="dot" w:pos="9629"/>
        </w:tabs>
        <w:rPr>
          <w:rFonts w:asciiTheme="minorHAnsi" w:eastAsiaTheme="minorEastAsia" w:hAnsiTheme="minorHAnsi"/>
          <w:b w:val="0"/>
          <w:noProof/>
          <w:sz w:val="22"/>
          <w:szCs w:val="22"/>
          <w:lang w:val="en-US"/>
        </w:rPr>
      </w:pPr>
      <w:hyperlink w:anchor="_Toc5120164" w:history="1">
        <w:r w:rsidR="001D6FFD" w:rsidRPr="00AE6713">
          <w:rPr>
            <w:rStyle w:val="Hyperlink"/>
            <w:noProof/>
            <w:lang w:val="en-US"/>
          </w:rPr>
          <w:t>ii.</w:t>
        </w:r>
        <w:r w:rsidR="001D6FFD">
          <w:rPr>
            <w:rFonts w:asciiTheme="minorHAnsi" w:eastAsiaTheme="minorEastAsia" w:hAnsiTheme="minorHAnsi"/>
            <w:b w:val="0"/>
            <w:noProof/>
            <w:sz w:val="22"/>
            <w:szCs w:val="22"/>
            <w:lang w:val="en-US"/>
          </w:rPr>
          <w:tab/>
        </w:r>
        <w:r w:rsidR="001D6FFD" w:rsidRPr="00AE6713">
          <w:rPr>
            <w:rStyle w:val="Hyperlink"/>
            <w:noProof/>
            <w:lang w:val="en-US"/>
          </w:rPr>
          <w:t>FFS how to use the range and distances.</w:t>
        </w:r>
      </w:hyperlink>
    </w:p>
    <w:p w14:paraId="7A7B61BA" w14:textId="4EDB0514" w:rsidR="006B5156" w:rsidRPr="00BA68FB" w:rsidRDefault="006B5156" w:rsidP="006B5156">
      <w:pPr>
        <w:pStyle w:val="TableofFigures"/>
        <w:tabs>
          <w:tab w:val="right" w:leader="dot" w:pos="9629"/>
        </w:tabs>
        <w:ind w:left="2127" w:hanging="284"/>
        <w:rPr>
          <w:b w:val="0"/>
          <w:bCs/>
        </w:rPr>
      </w:pPr>
      <w:r>
        <w:rPr>
          <w:b w:val="0"/>
          <w:bCs/>
        </w:rPr>
        <w:fldChar w:fldCharType="end"/>
      </w:r>
    </w:p>
    <w:p w14:paraId="6A610F6F" w14:textId="39BB4B93" w:rsidR="006B5156" w:rsidRPr="00CE0424" w:rsidRDefault="00896A5F" w:rsidP="006B5156">
      <w:pPr>
        <w:pStyle w:val="Heading1"/>
      </w:pPr>
      <w:bookmarkStart w:id="8" w:name="_In-sequence_SDU_delivery"/>
      <w:bookmarkEnd w:id="8"/>
      <w:r>
        <w:t>4</w:t>
      </w:r>
      <w:r>
        <w:tab/>
      </w:r>
      <w:r w:rsidR="006B5156" w:rsidRPr="00CE0424">
        <w:t>References</w:t>
      </w:r>
    </w:p>
    <w:p w14:paraId="341115A8" w14:textId="77777777" w:rsidR="006B5156" w:rsidRDefault="006B5156" w:rsidP="006B5156">
      <w:pPr>
        <w:pStyle w:val="Reference"/>
        <w:rPr>
          <w:rFonts w:cs="Arial"/>
        </w:rPr>
      </w:pPr>
      <w:bookmarkStart w:id="9" w:name="_Ref4155288"/>
      <w:bookmarkStart w:id="10" w:name="_Ref534978064"/>
      <w:bookmarkStart w:id="11" w:name="_Ref174151459"/>
      <w:bookmarkStart w:id="12" w:name="_Ref189809556"/>
      <w:r w:rsidRPr="0038676A">
        <w:rPr>
          <w:rFonts w:cs="Arial"/>
        </w:rPr>
        <w:t>RP-</w:t>
      </w:r>
      <w:r w:rsidRPr="00CE1B9E">
        <w:rPr>
          <w:rFonts w:eastAsia="Batang" w:cs="Arial"/>
        </w:rPr>
        <w:t>19076</w:t>
      </w:r>
      <w:r>
        <w:rPr>
          <w:rFonts w:eastAsia="Batang" w:cs="Arial"/>
        </w:rPr>
        <w:t>6</w:t>
      </w:r>
      <w:r w:rsidRPr="0038676A">
        <w:rPr>
          <w:rFonts w:cs="Arial"/>
        </w:rPr>
        <w:t>,</w:t>
      </w:r>
      <w:r w:rsidRPr="0038676A">
        <w:rPr>
          <w:rFonts w:cs="Arial"/>
        </w:rPr>
        <w:tab/>
        <w:t xml:space="preserve"> </w:t>
      </w:r>
      <w:r w:rsidRPr="00CE1B9E">
        <w:rPr>
          <w:rFonts w:eastAsia="Batang" w:cs="Arial"/>
        </w:rPr>
        <w:t>New WID on 5</w:t>
      </w:r>
      <w:r w:rsidRPr="00CE1B9E">
        <w:rPr>
          <w:rFonts w:eastAsia="Batang" w:cs="Arial" w:hint="eastAsia"/>
          <w:lang w:eastAsia="ko-KR"/>
        </w:rPr>
        <w:t>G V2X with NR sidelink</w:t>
      </w:r>
      <w:r w:rsidRPr="00CE1B9E">
        <w:rPr>
          <w:rFonts w:eastAsia="Batang" w:cs="Arial"/>
          <w:lang w:eastAsia="ko-KR"/>
        </w:rPr>
        <w:t>, 3GPP TSG RAN Meeting #83, March 2019</w:t>
      </w:r>
      <w:r w:rsidRPr="0038676A">
        <w:rPr>
          <w:rFonts w:cs="Arial"/>
        </w:rPr>
        <w:t>.</w:t>
      </w:r>
      <w:bookmarkEnd w:id="9"/>
    </w:p>
    <w:bookmarkEnd w:id="10"/>
    <w:bookmarkEnd w:id="11"/>
    <w:bookmarkEnd w:id="12"/>
    <w:p w14:paraId="0034D3CC" w14:textId="7C9D5424" w:rsidR="003A7EF3" w:rsidRPr="006B5156" w:rsidRDefault="003A7EF3" w:rsidP="006B5156">
      <w:pPr>
        <w:pStyle w:val="Heading1"/>
        <w:rPr>
          <w:lang w:val="en-US"/>
        </w:rPr>
      </w:pPr>
    </w:p>
    <w:sectPr w:rsidR="003A7EF3" w:rsidRPr="006B515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2B311" w14:textId="77777777" w:rsidR="00BD45BA" w:rsidRDefault="00BD45BA">
      <w:r>
        <w:separator/>
      </w:r>
    </w:p>
  </w:endnote>
  <w:endnote w:type="continuationSeparator" w:id="0">
    <w:p w14:paraId="1A50DF17" w14:textId="77777777" w:rsidR="00BD45BA" w:rsidRDefault="00BD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99E2B" w14:textId="77777777" w:rsidR="00BD45BA" w:rsidRDefault="00BD45BA">
      <w:r>
        <w:separator/>
      </w:r>
    </w:p>
  </w:footnote>
  <w:footnote w:type="continuationSeparator" w:id="0">
    <w:p w14:paraId="699281D7" w14:textId="77777777" w:rsidR="00BD45BA" w:rsidRDefault="00BD4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24513C4"/>
    <w:multiLevelType w:val="hybridMultilevel"/>
    <w:tmpl w:val="202CB510"/>
    <w:lvl w:ilvl="0" w:tplc="1A827042">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17"/>
  </w:num>
  <w:num w:numId="3">
    <w:abstractNumId w:val="12"/>
  </w:num>
  <w:num w:numId="4">
    <w:abstractNumId w:val="13"/>
  </w:num>
  <w:num w:numId="5">
    <w:abstractNumId w:val="9"/>
  </w:num>
  <w:num w:numId="6">
    <w:abstractNumId w:val="16"/>
  </w:num>
  <w:num w:numId="7">
    <w:abstractNumId w:val="20"/>
  </w:num>
  <w:num w:numId="8">
    <w:abstractNumId w:val="10"/>
  </w:num>
  <w:num w:numId="9">
    <w:abstractNumId w:val="8"/>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15"/>
  </w:num>
  <w:num w:numId="24">
    <w:abstractNumId w:val="4"/>
  </w:num>
  <w:num w:numId="2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411"/>
    <w:rsid w:val="00151BCF"/>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C5AD2"/>
    <w:rsid w:val="001D51BA"/>
    <w:rsid w:val="001D53E7"/>
    <w:rsid w:val="001D6342"/>
    <w:rsid w:val="001D6D53"/>
    <w:rsid w:val="001D6FFD"/>
    <w:rsid w:val="001E58E2"/>
    <w:rsid w:val="001E7AED"/>
    <w:rsid w:val="001F3916"/>
    <w:rsid w:val="001F4249"/>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2AD"/>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36C6"/>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36B0"/>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4DEA"/>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4260"/>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1F78"/>
    <w:rsid w:val="006B2099"/>
    <w:rsid w:val="006B50CF"/>
    <w:rsid w:val="006B5156"/>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4D52"/>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57B"/>
    <w:rsid w:val="00736D7D"/>
    <w:rsid w:val="00740E58"/>
    <w:rsid w:val="007445A0"/>
    <w:rsid w:val="0074524B"/>
    <w:rsid w:val="00745C72"/>
    <w:rsid w:val="00747D8B"/>
    <w:rsid w:val="00751228"/>
    <w:rsid w:val="007571E1"/>
    <w:rsid w:val="007604B2"/>
    <w:rsid w:val="00763485"/>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06EE"/>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A5F"/>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E5115"/>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0789"/>
    <w:rsid w:val="00A3448A"/>
    <w:rsid w:val="00A36297"/>
    <w:rsid w:val="00A375AB"/>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4894"/>
    <w:rsid w:val="00BA56D2"/>
    <w:rsid w:val="00BA76E0"/>
    <w:rsid w:val="00BB10A7"/>
    <w:rsid w:val="00BB2A25"/>
    <w:rsid w:val="00BB51E9"/>
    <w:rsid w:val="00BC0FDC"/>
    <w:rsid w:val="00BC3053"/>
    <w:rsid w:val="00BC4D2E"/>
    <w:rsid w:val="00BD45BA"/>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48A3"/>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9F1"/>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D5EE6"/>
    <w:rsid w:val="00DE5608"/>
    <w:rsid w:val="00DE58D0"/>
    <w:rsid w:val="00DE6193"/>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7AE"/>
    <w:rsid w:val="00F8456C"/>
    <w:rsid w:val="00F859D8"/>
    <w:rsid w:val="00F868F5"/>
    <w:rsid w:val="00F9056A"/>
    <w:rsid w:val="00F90F8D"/>
    <w:rsid w:val="00F92782"/>
    <w:rsid w:val="00F93AA9"/>
    <w:rsid w:val="00F96985"/>
    <w:rsid w:val="00F97838"/>
    <w:rsid w:val="00FA2BB3"/>
    <w:rsid w:val="00FB407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5EE6"/>
    <w:rPr>
      <w:rFonts w:asciiTheme="minorHAnsi" w:eastAsiaTheme="minorHAnsi" w:hAnsiTheme="minorHAnsi" w:cstheme="minorBidi"/>
      <w:sz w:val="24"/>
      <w:szCs w:val="24"/>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D5E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5EE6"/>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607734">
      <w:bodyDiv w:val="1"/>
      <w:marLeft w:val="0"/>
      <w:marRight w:val="0"/>
      <w:marTop w:val="0"/>
      <w:marBottom w:val="0"/>
      <w:divBdr>
        <w:top w:val="none" w:sz="0" w:space="0" w:color="auto"/>
        <w:left w:val="none" w:sz="0" w:space="0" w:color="auto"/>
        <w:bottom w:val="none" w:sz="0" w:space="0" w:color="auto"/>
        <w:right w:val="none" w:sz="0" w:space="0" w:color="auto"/>
      </w:divBdr>
    </w:div>
    <w:div w:id="69615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f6__x95f4_ xmlns="cc7603ed-7603-4824-9004-1c5aaeadf2ab" xsi:nil="true"/>
    <_Flow_SignoffStatus xmlns="cc7603ed-7603-4824-9004-1c5aaeadf2ab" xsi:nil="true"/>
    <NH xmlns="cc7603ed-7603-4824-9004-1c5aaeadf2a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0102C-3586-44A9-AC9D-11EA0806E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3FC6D-C1AB-4312-B36E-03092743858C}">
  <ds:schemaRefs>
    <ds:schemaRef ds:uri="http://schemas.microsoft.com/office/2006/metadata/properties"/>
    <ds:schemaRef ds:uri="http://schemas.microsoft.com/office/infopath/2007/PartnerControls"/>
    <ds:schemaRef ds:uri="cc7603ed-7603-4824-9004-1c5aaeadf2ab"/>
  </ds:schemaRefs>
</ds:datastoreItem>
</file>

<file path=customXml/itemProps3.xml><?xml version="1.0" encoding="utf-8"?>
<ds:datastoreItem xmlns:ds="http://schemas.openxmlformats.org/officeDocument/2006/customXml" ds:itemID="{18236173-298D-463E-AB77-1578C7C2BEA9}">
  <ds:schemaRefs>
    <ds:schemaRef ds:uri="http://schemas.microsoft.com/sharepoint/v3/contenttype/forms"/>
  </ds:schemaRefs>
</ds:datastoreItem>
</file>

<file path=customXml/itemProps4.xml><?xml version="1.0" encoding="utf-8"?>
<ds:datastoreItem xmlns:ds="http://schemas.openxmlformats.org/officeDocument/2006/customXml" ds:itemID="{37DBF0BD-D80A-BC4D-998B-5F3E2AD3D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774</Words>
  <Characters>4414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2019-04-02T18:01:00Z</dcterms:created>
  <dcterms:modified xsi:type="dcterms:W3CDTF">2019-04-02T18:01:00Z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2560">
    <vt:lpwstr>53</vt:lpwstr>
  </property>
  <property fmtid="{D5CDD505-2E9C-101B-9397-08002B2CF9AE}" pid="3" name="ContentTypeId">
    <vt:lpwstr>0x0101001ACB0BFAF4B3DB478B6E162A113003C9</vt:lpwstr>
  </property>
  <property fmtid="{D5CDD505-2E9C-101B-9397-08002B2CF9AE}" pid="4" name="Date">
    <vt:filetime>2018-03-26T22:00:00Z</vt:filetime>
  </property>
  <property fmtid="{D5CDD505-2E9C-101B-9397-08002B2CF9AE}" pid="5" name="AuthorIds_UIVersion_3072">
    <vt:lpwstr>56</vt:lpwstr>
  </property>
  <property fmtid="{D5CDD505-2E9C-101B-9397-08002B2CF9AE}" pid="6" name="AuthorIds_UIVersion_4096">
    <vt:lpwstr>56</vt:lpwstr>
  </property>
</Properties>
</file>